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9A" w:rsidRPr="001371F7" w:rsidRDefault="00714D9A" w:rsidP="00714D9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714D9A" w:rsidRPr="001371F7" w:rsidRDefault="00714D9A" w:rsidP="00714D9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714D9A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E33FD" w:rsidRPr="001371F7" w:rsidRDefault="003E33FD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8749A" w:rsidRPr="001371F7" w:rsidRDefault="00714D9A" w:rsidP="00C8749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ZBOŻOWE </w:t>
      </w:r>
      <w:r w:rsidR="00C8749A">
        <w:rPr>
          <w:rFonts w:ascii="Arial" w:eastAsia="Times New Roman" w:hAnsi="Arial" w:cs="Arial"/>
          <w:b/>
          <w:kern w:val="1"/>
          <w:sz w:val="40"/>
          <w:szCs w:val="40"/>
        </w:rPr>
        <w:t>KULKI</w:t>
      </w:r>
    </w:p>
    <w:p w:rsidR="00714D9A" w:rsidRDefault="00714D9A" w:rsidP="00714D9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O SMAKU CZEKOLADOWYM</w:t>
      </w:r>
    </w:p>
    <w:p w:rsidR="00714D9A" w:rsidRPr="001371F7" w:rsidRDefault="00714D9A" w:rsidP="00714D9A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8749A" w:rsidRDefault="00C874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8749A" w:rsidRDefault="00C874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C8749A" w:rsidRDefault="00C874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Default="00714D9A" w:rsidP="00714D9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726AD" w:rsidRDefault="00714D9A" w:rsidP="004726A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714D9A" w:rsidRPr="001371F7" w:rsidRDefault="00714D9A" w:rsidP="004726A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714D9A" w:rsidRPr="001371F7" w:rsidRDefault="00714D9A" w:rsidP="009D4A20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zbożowych</w:t>
      </w:r>
      <w:r w:rsidR="00C8749A">
        <w:rPr>
          <w:rFonts w:ascii="Arial" w:eastAsia="Calibri" w:hAnsi="Arial" w:cs="Arial"/>
          <w:sz w:val="20"/>
          <w:szCs w:val="20"/>
          <w:lang w:eastAsia="pl-PL"/>
        </w:rPr>
        <w:t xml:space="preserve"> kulek o smaku czekoladowym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C8749A" w:rsidRPr="00C8749A">
        <w:rPr>
          <w:rFonts w:ascii="Arial" w:eastAsia="Calibri" w:hAnsi="Arial" w:cs="Arial"/>
          <w:sz w:val="20"/>
          <w:szCs w:val="20"/>
          <w:lang w:eastAsia="pl-PL"/>
        </w:rPr>
        <w:t xml:space="preserve">zbożowych kulek o smaku czekoladowym 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714D9A" w:rsidRPr="001371F7" w:rsidRDefault="00714D9A" w:rsidP="009D4A2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714D9A" w:rsidRPr="001371F7" w:rsidRDefault="00714D9A" w:rsidP="009D4A2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714D9A" w:rsidRPr="001371F7" w:rsidRDefault="00714D9A" w:rsidP="009D4A2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714D9A" w:rsidRPr="001371F7" w:rsidRDefault="00714D9A" w:rsidP="009D4A2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- Oznaczanie wilgotności - Metoda odwoławcza</w:t>
      </w:r>
    </w:p>
    <w:p w:rsidR="00714D9A" w:rsidRPr="001371F7" w:rsidRDefault="00714D9A" w:rsidP="009D4A20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714D9A" w:rsidRPr="001371F7" w:rsidRDefault="00C8749A" w:rsidP="009D4A20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Z</w:t>
      </w:r>
      <w:r w:rsidR="00714D9A" w:rsidRPr="002D329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bożowe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ku</w:t>
      </w:r>
      <w:r w:rsidRPr="002D329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lki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o smaku czekoladowym</w:t>
      </w:r>
    </w:p>
    <w:p w:rsidR="00714D9A" w:rsidRPr="001371F7" w:rsidRDefault="00714D9A" w:rsidP="009D4A20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Produkt zbożowy otrzymany z odpowiednio spreparowanej mąki pszennej</w:t>
      </w:r>
      <w:r w:rsidR="00F03820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 w:rsidR="00FB6C42">
        <w:rPr>
          <w:rFonts w:ascii="Arial" w:eastAsia="Times New Roman" w:hAnsi="Arial" w:cs="Arial"/>
          <w:bCs/>
          <w:kern w:val="1"/>
          <w:sz w:val="20"/>
          <w:szCs w:val="20"/>
        </w:rPr>
        <w:t>(</w:t>
      </w:r>
      <w:r w:rsidR="00A512F2">
        <w:rPr>
          <w:rFonts w:ascii="Arial" w:eastAsia="Times New Roman" w:hAnsi="Arial" w:cs="Arial"/>
          <w:bCs/>
          <w:kern w:val="1"/>
          <w:sz w:val="20"/>
          <w:szCs w:val="20"/>
        </w:rPr>
        <w:t xml:space="preserve">w tym </w:t>
      </w:r>
      <w:r w:rsidR="00FB6C42">
        <w:rPr>
          <w:rFonts w:ascii="Arial" w:eastAsia="Times New Roman" w:hAnsi="Arial" w:cs="Arial"/>
          <w:bCs/>
          <w:kern w:val="1"/>
          <w:sz w:val="20"/>
          <w:szCs w:val="20"/>
        </w:rPr>
        <w:t>co najmniej 45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% mąki pełnoziarnistej) i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kukurydzianej, </w:t>
      </w:r>
      <w:r w:rsidR="00F03820">
        <w:rPr>
          <w:rFonts w:ascii="Arial" w:eastAsia="Times New Roman" w:hAnsi="Arial" w:cs="Arial"/>
          <w:bCs/>
          <w:kern w:val="1"/>
          <w:sz w:val="20"/>
          <w:szCs w:val="20"/>
        </w:rPr>
        <w:t>z dodatkiem kakao (co najmniej 5,5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%)</w:t>
      </w:r>
      <w:r w:rsidR="00FB6C42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oleju słonecznikowego i innych substancji dodatkowych,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714D9A" w:rsidRPr="001371F7" w:rsidRDefault="00714D9A" w:rsidP="00714D9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14D9A" w:rsidRPr="001371F7" w:rsidRDefault="00714D9A" w:rsidP="009D4A20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714D9A" w:rsidRPr="001371F7" w:rsidRDefault="00714D9A" w:rsidP="009D4A20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14D9A" w:rsidRPr="001371F7" w:rsidRDefault="00714D9A" w:rsidP="009D4A20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714D9A" w:rsidRPr="001371F7" w:rsidRDefault="00714D9A" w:rsidP="009D4A20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714D9A" w:rsidRPr="001371F7" w:rsidRDefault="00714D9A" w:rsidP="00714D9A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745"/>
        <w:gridCol w:w="1694"/>
      </w:tblGrid>
      <w:tr w:rsidR="00714D9A" w:rsidRPr="001371F7" w:rsidTr="009D4A20">
        <w:trPr>
          <w:trHeight w:val="450"/>
          <w:jc w:val="center"/>
        </w:trPr>
        <w:tc>
          <w:tcPr>
            <w:tcW w:w="226" w:type="pct"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668" w:type="pct"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71" w:type="pct"/>
            <w:vAlign w:val="center"/>
          </w:tcPr>
          <w:p w:rsidR="00714D9A" w:rsidRPr="001371F7" w:rsidRDefault="00714D9A" w:rsidP="009D4A2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935" w:type="pct"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714D9A" w:rsidRPr="001371F7" w:rsidTr="009D4A20">
        <w:trPr>
          <w:cantSplit/>
          <w:trHeight w:val="195"/>
          <w:jc w:val="center"/>
        </w:trPr>
        <w:tc>
          <w:tcPr>
            <w:tcW w:w="226" w:type="pct"/>
          </w:tcPr>
          <w:p w:rsidR="00714D9A" w:rsidRPr="001371F7" w:rsidRDefault="00714D9A" w:rsidP="009D4A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668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714D9A" w:rsidRPr="001371F7" w:rsidRDefault="00FB6C42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Postać kulek</w:t>
            </w:r>
            <w:r w:rsidR="00714D9A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dopuszcza się pojedyncze zlepienia </w:t>
            </w:r>
            <w:r w:rsidR="00A512F2">
              <w:rPr>
                <w:rFonts w:ascii="Arial" w:eastAsia="Times New Roman" w:hAnsi="Arial" w:cs="Arial"/>
                <w:kern w:val="1"/>
                <w:sz w:val="18"/>
                <w:szCs w:val="18"/>
              </w:rPr>
              <w:t>rozpadające się pod naciskiem</w:t>
            </w:r>
          </w:p>
        </w:tc>
        <w:tc>
          <w:tcPr>
            <w:tcW w:w="935" w:type="pct"/>
            <w:vMerge w:val="restart"/>
            <w:vAlign w:val="center"/>
          </w:tcPr>
          <w:p w:rsidR="00714D9A" w:rsidRPr="001371F7" w:rsidRDefault="00714D9A" w:rsidP="009D4A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714D9A" w:rsidRPr="001371F7" w:rsidTr="009D4A20">
        <w:trPr>
          <w:cantSplit/>
          <w:trHeight w:val="156"/>
          <w:jc w:val="center"/>
        </w:trPr>
        <w:tc>
          <w:tcPr>
            <w:tcW w:w="226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668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Ciemnobrązowa </w:t>
            </w:r>
          </w:p>
        </w:tc>
        <w:tc>
          <w:tcPr>
            <w:tcW w:w="935" w:type="pct"/>
            <w:vMerge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14D9A" w:rsidRPr="001371F7" w:rsidTr="009D4A20">
        <w:trPr>
          <w:cantSplit/>
          <w:trHeight w:val="218"/>
          <w:jc w:val="center"/>
        </w:trPr>
        <w:tc>
          <w:tcPr>
            <w:tcW w:w="226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668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935" w:type="pct"/>
            <w:vMerge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14D9A" w:rsidRPr="001371F7" w:rsidTr="009D4A20">
        <w:trPr>
          <w:cantSplit/>
          <w:trHeight w:val="341"/>
          <w:jc w:val="center"/>
        </w:trPr>
        <w:tc>
          <w:tcPr>
            <w:tcW w:w="226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668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71" w:type="pct"/>
            <w:tcBorders>
              <w:bottom w:val="single" w:sz="6" w:space="0" w:color="auto"/>
            </w:tcBorders>
          </w:tcPr>
          <w:p w:rsidR="00714D9A" w:rsidRPr="001371F7" w:rsidRDefault="00714D9A" w:rsidP="009C03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</w:t>
            </w:r>
            <w:r w:rsidR="009C039A">
              <w:rPr>
                <w:rFonts w:ascii="Arial" w:eastAsia="Times New Roman" w:hAnsi="Arial" w:cs="Arial"/>
                <w:kern w:val="1"/>
                <w:sz w:val="18"/>
                <w:szCs w:val="18"/>
              </w:rPr>
              <w:t>produktów zbożowych, z wyraźnym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posmakiem</w:t>
            </w:r>
            <w:r w:rsidR="009D4A20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czekolady; smak kwaśny, gorzki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inny nieswoisty niedopuszczalny</w:t>
            </w:r>
          </w:p>
        </w:tc>
        <w:tc>
          <w:tcPr>
            <w:tcW w:w="935" w:type="pct"/>
            <w:vMerge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14D9A" w:rsidRPr="001371F7" w:rsidTr="009D4A20">
        <w:trPr>
          <w:cantSplit/>
          <w:trHeight w:val="90"/>
          <w:jc w:val="center"/>
        </w:trPr>
        <w:tc>
          <w:tcPr>
            <w:tcW w:w="226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668" w:type="pct"/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71" w:type="pct"/>
            <w:tcBorders>
              <w:top w:val="single" w:sz="6" w:space="0" w:color="auto"/>
            </w:tcBorders>
          </w:tcPr>
          <w:p w:rsidR="00714D9A" w:rsidRPr="001371F7" w:rsidRDefault="00714D9A" w:rsidP="00EC26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produktów </w:t>
            </w:r>
            <w:r w:rsidR="009D4A20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zbożowych, z wyraźnym zapachem 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czekolady; zapach stęchlizny, pleśni i inny nieswoisty niedopuszczalny</w:t>
            </w:r>
          </w:p>
        </w:tc>
        <w:tc>
          <w:tcPr>
            <w:tcW w:w="935" w:type="pct"/>
            <w:vMerge/>
            <w:vAlign w:val="center"/>
          </w:tcPr>
          <w:p w:rsidR="00714D9A" w:rsidRPr="001371F7" w:rsidRDefault="00714D9A" w:rsidP="00EC267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714D9A" w:rsidRPr="001371F7" w:rsidRDefault="00714D9A" w:rsidP="009D4A20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714D9A" w:rsidRPr="001371F7" w:rsidRDefault="00714D9A" w:rsidP="009D4A20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322F55" w:rsidRPr="001371F7" w:rsidRDefault="00322F55" w:rsidP="00322F55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19"/>
        <w:gridCol w:w="2100"/>
        <w:gridCol w:w="2115"/>
      </w:tblGrid>
      <w:tr w:rsidR="00322F55" w:rsidRPr="001371F7" w:rsidTr="006D2C33">
        <w:trPr>
          <w:trHeight w:val="450"/>
          <w:jc w:val="center"/>
        </w:trPr>
        <w:tc>
          <w:tcPr>
            <w:tcW w:w="235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439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159" w:type="pct"/>
            <w:vAlign w:val="center"/>
          </w:tcPr>
          <w:p w:rsidR="00322F55" w:rsidRPr="001371F7" w:rsidRDefault="00322F55" w:rsidP="006D2C3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22F55" w:rsidRPr="001371F7" w:rsidTr="006D2C33">
        <w:trPr>
          <w:cantSplit/>
          <w:trHeight w:val="177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322F55" w:rsidRPr="001371F7" w:rsidTr="006D2C33">
        <w:trPr>
          <w:cantSplit/>
          <w:trHeight w:val="177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322F55" w:rsidRPr="001371F7" w:rsidTr="006D2C33">
        <w:trPr>
          <w:cantSplit/>
          <w:trHeight w:val="177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439" w:type="pct"/>
          </w:tcPr>
          <w:p w:rsidR="00322F55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1159" w:type="pct"/>
            <w:tcBorders>
              <w:bottom w:val="single" w:sz="6" w:space="0" w:color="auto"/>
            </w:tcBorders>
            <w:vAlign w:val="center"/>
          </w:tcPr>
          <w:p w:rsidR="00322F55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322F55" w:rsidRPr="001371F7" w:rsidTr="006D2C33">
        <w:trPr>
          <w:cantSplit/>
          <w:trHeight w:val="341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167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322F55" w:rsidRPr="001371F7" w:rsidTr="006D2C33">
        <w:trPr>
          <w:cantSplit/>
          <w:trHeight w:val="90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0,15</w:t>
            </w:r>
          </w:p>
        </w:tc>
        <w:tc>
          <w:tcPr>
            <w:tcW w:w="1167" w:type="pc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322F55" w:rsidRPr="001371F7" w:rsidTr="006D2C33">
        <w:trPr>
          <w:cantSplit/>
          <w:trHeight w:val="90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anieczyszczeń nieorganicznych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ferromagnetycznych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322F55" w:rsidRPr="001371F7" w:rsidTr="006D2C33">
        <w:trPr>
          <w:cantSplit/>
          <w:trHeight w:val="90"/>
          <w:jc w:val="center"/>
        </w:trPr>
        <w:tc>
          <w:tcPr>
            <w:tcW w:w="235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439" w:type="pct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322F55" w:rsidRPr="001371F7" w:rsidRDefault="00322F55" w:rsidP="006D2C3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714D9A" w:rsidRPr="001371F7" w:rsidRDefault="00714D9A" w:rsidP="009D4A20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714D9A" w:rsidRPr="001371F7" w:rsidRDefault="00714D9A" w:rsidP="00714D9A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371F7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</w:t>
      </w:r>
      <w:r w:rsidRPr="001371F7">
        <w:rPr>
          <w:rFonts w:ascii="Arial" w:eastAsia="Times New Roman" w:hAnsi="Arial" w:cs="Arial"/>
          <w:sz w:val="20"/>
          <w:szCs w:val="16"/>
          <w:vertAlign w:val="superscript"/>
          <w:lang w:eastAsia="pl-PL"/>
        </w:rPr>
        <w:t>.</w:t>
      </w: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371F7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714D9A" w:rsidRPr="001371F7" w:rsidRDefault="00714D9A" w:rsidP="00714D9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E20BE2" w:rsidRDefault="00E20BE2" w:rsidP="00E20BE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A512F2" w:rsidRPr="001371F7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371F7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714D9A" w:rsidRPr="001371F7" w:rsidRDefault="00714D9A" w:rsidP="00714D9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714D9A" w:rsidRDefault="00714D9A" w:rsidP="00714D9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371F7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A512F2" w:rsidRPr="00A512F2" w:rsidRDefault="00A512F2" w:rsidP="00A512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12F2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A512F2" w:rsidRPr="00A512F2" w:rsidRDefault="00A512F2" w:rsidP="00A512F2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Pr="00A512F2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A512F2" w:rsidRPr="009F1DE8" w:rsidRDefault="00A512F2" w:rsidP="009F1DE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60</w:t>
      </w:r>
      <w:r w:rsidR="009F1DE8">
        <w:rPr>
          <w:rFonts w:ascii="Arial" w:eastAsia="Arial Unicode MS" w:hAnsi="Arial" w:cs="Arial"/>
          <w:sz w:val="20"/>
          <w:szCs w:val="20"/>
          <w:lang w:eastAsia="pl-PL"/>
        </w:rPr>
        <w:t>0g</w:t>
      </w:r>
      <w:bookmarkStart w:id="2" w:name="_GoBack"/>
      <w:bookmarkEnd w:id="2"/>
      <w:r w:rsidRPr="009F1DE8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6.1 Pakowanie</w:t>
      </w:r>
    </w:p>
    <w:p w:rsidR="007577D9" w:rsidRPr="007577D9" w:rsidRDefault="007577D9" w:rsidP="007577D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77D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577D9" w:rsidRDefault="007577D9" w:rsidP="009C039A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577D9" w:rsidRDefault="007577D9" w:rsidP="007577D9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714D9A" w:rsidRPr="001371F7" w:rsidRDefault="00714D9A" w:rsidP="00714D9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714D9A" w:rsidRPr="001371F7" w:rsidRDefault="00714D9A" w:rsidP="009D4A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904708" w:rsidRDefault="00714D9A" w:rsidP="009D4A2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904708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644" w:rsidRDefault="00D76644" w:rsidP="00714D9A">
      <w:pPr>
        <w:spacing w:after="0" w:line="240" w:lineRule="auto"/>
      </w:pPr>
      <w:r>
        <w:separator/>
      </w:r>
    </w:p>
  </w:endnote>
  <w:endnote w:type="continuationSeparator" w:id="0">
    <w:p w:rsidR="00D76644" w:rsidRDefault="00D76644" w:rsidP="0071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FB6D37" w:rsidP="004E658C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2D36F9">
      <w:rPr>
        <w:rStyle w:val="Numerstrony"/>
        <w:rFonts w:ascii="Arial" w:hAnsi="Arial" w:cs="Arial"/>
        <w:sz w:val="16"/>
        <w:szCs w:val="16"/>
      </w:rPr>
      <w:t>CZERWIEC 2024</w:t>
    </w:r>
    <w:r w:rsidR="003A4387">
      <w:rPr>
        <w:rStyle w:val="Numerstrony"/>
        <w:rFonts w:ascii="Arial" w:hAnsi="Arial" w:cs="Arial"/>
        <w:sz w:val="16"/>
        <w:szCs w:val="16"/>
      </w:rPr>
      <w:t xml:space="preserve"> r.</w:t>
    </w:r>
    <w:r w:rsidR="004E658C">
      <w:rPr>
        <w:rStyle w:val="Numerstrony"/>
        <w:rFonts w:ascii="Arial" w:hAnsi="Arial" w:cs="Arial"/>
        <w:sz w:val="16"/>
        <w:szCs w:val="16"/>
      </w:rPr>
      <w:tab/>
    </w:r>
    <w:r w:rsidR="0027203C">
      <w:rPr>
        <w:rStyle w:val="Numerstrony"/>
        <w:rFonts w:ascii="Arial" w:hAnsi="Arial" w:cs="Arial"/>
        <w:sz w:val="16"/>
        <w:szCs w:val="16"/>
      </w:rPr>
      <w:t xml:space="preserve">Strona </w:t>
    </w:r>
    <w:r w:rsidR="0027203C">
      <w:rPr>
        <w:rStyle w:val="Numerstrony"/>
        <w:rFonts w:ascii="Arial" w:hAnsi="Arial" w:cs="Arial"/>
        <w:sz w:val="16"/>
        <w:szCs w:val="16"/>
      </w:rPr>
      <w:fldChar w:fldCharType="begin"/>
    </w:r>
    <w:r w:rsidR="0027203C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7203C">
      <w:rPr>
        <w:rStyle w:val="Numerstrony"/>
        <w:rFonts w:ascii="Arial" w:hAnsi="Arial" w:cs="Arial"/>
        <w:sz w:val="16"/>
        <w:szCs w:val="16"/>
      </w:rPr>
      <w:fldChar w:fldCharType="separate"/>
    </w:r>
    <w:r w:rsidR="009F1DE8">
      <w:rPr>
        <w:rStyle w:val="Numerstrony"/>
        <w:rFonts w:ascii="Arial" w:hAnsi="Arial" w:cs="Arial"/>
        <w:noProof/>
        <w:sz w:val="16"/>
        <w:szCs w:val="16"/>
      </w:rPr>
      <w:t>2</w:t>
    </w:r>
    <w:r w:rsidR="0027203C">
      <w:rPr>
        <w:rStyle w:val="Numerstrony"/>
        <w:rFonts w:ascii="Arial" w:hAnsi="Arial" w:cs="Arial"/>
        <w:sz w:val="16"/>
        <w:szCs w:val="16"/>
      </w:rPr>
      <w:fldChar w:fldCharType="end"/>
    </w:r>
    <w:r w:rsidR="0027203C">
      <w:rPr>
        <w:rStyle w:val="Numerstrony"/>
        <w:rFonts w:ascii="Arial" w:hAnsi="Arial" w:cs="Arial"/>
        <w:sz w:val="16"/>
        <w:szCs w:val="16"/>
      </w:rPr>
      <w:t xml:space="preserve"> z </w:t>
    </w:r>
    <w:r w:rsidR="0027203C">
      <w:rPr>
        <w:rStyle w:val="Numerstrony"/>
        <w:rFonts w:ascii="Arial" w:hAnsi="Arial" w:cs="Arial"/>
        <w:sz w:val="16"/>
        <w:szCs w:val="16"/>
      </w:rPr>
      <w:fldChar w:fldCharType="begin"/>
    </w:r>
    <w:r w:rsidR="0027203C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7203C">
      <w:rPr>
        <w:rStyle w:val="Numerstrony"/>
        <w:rFonts w:ascii="Arial" w:hAnsi="Arial" w:cs="Arial"/>
        <w:sz w:val="16"/>
        <w:szCs w:val="16"/>
      </w:rPr>
      <w:fldChar w:fldCharType="separate"/>
    </w:r>
    <w:r w:rsidR="009F1DE8">
      <w:rPr>
        <w:rStyle w:val="Numerstrony"/>
        <w:rFonts w:ascii="Arial" w:hAnsi="Arial" w:cs="Arial"/>
        <w:noProof/>
        <w:sz w:val="16"/>
        <w:szCs w:val="16"/>
      </w:rPr>
      <w:t>4</w:t>
    </w:r>
    <w:r w:rsidR="0027203C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644" w:rsidRDefault="00D76644" w:rsidP="00714D9A">
      <w:pPr>
        <w:spacing w:after="0" w:line="240" w:lineRule="auto"/>
      </w:pPr>
      <w:r>
        <w:separator/>
      </w:r>
    </w:p>
  </w:footnote>
  <w:footnote w:type="continuationSeparator" w:id="0">
    <w:p w:rsidR="00D76644" w:rsidRDefault="00D76644" w:rsidP="00714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278"/>
    <w:multiLevelType w:val="multilevel"/>
    <w:tmpl w:val="15909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9A"/>
    <w:rsid w:val="000114BC"/>
    <w:rsid w:val="00052F7A"/>
    <w:rsid w:val="00165446"/>
    <w:rsid w:val="001A493C"/>
    <w:rsid w:val="001D57FF"/>
    <w:rsid w:val="0027203C"/>
    <w:rsid w:val="002D36F9"/>
    <w:rsid w:val="00322F55"/>
    <w:rsid w:val="003A4387"/>
    <w:rsid w:val="003E33FD"/>
    <w:rsid w:val="004726AD"/>
    <w:rsid w:val="004C6750"/>
    <w:rsid w:val="004E658C"/>
    <w:rsid w:val="005030C8"/>
    <w:rsid w:val="005B7A0C"/>
    <w:rsid w:val="005C6BBA"/>
    <w:rsid w:val="00630C59"/>
    <w:rsid w:val="00714D9A"/>
    <w:rsid w:val="007577D9"/>
    <w:rsid w:val="00903F0D"/>
    <w:rsid w:val="00904708"/>
    <w:rsid w:val="00943344"/>
    <w:rsid w:val="00965EAE"/>
    <w:rsid w:val="009C039A"/>
    <w:rsid w:val="009D4A20"/>
    <w:rsid w:val="009F1DE8"/>
    <w:rsid w:val="00A512F2"/>
    <w:rsid w:val="00A56937"/>
    <w:rsid w:val="00AF3E2D"/>
    <w:rsid w:val="00B37511"/>
    <w:rsid w:val="00B50099"/>
    <w:rsid w:val="00BF534D"/>
    <w:rsid w:val="00C0518C"/>
    <w:rsid w:val="00C8749A"/>
    <w:rsid w:val="00D13644"/>
    <w:rsid w:val="00D3710F"/>
    <w:rsid w:val="00D76644"/>
    <w:rsid w:val="00E00738"/>
    <w:rsid w:val="00E20BE2"/>
    <w:rsid w:val="00E6722B"/>
    <w:rsid w:val="00EC4F11"/>
    <w:rsid w:val="00EC7001"/>
    <w:rsid w:val="00ED2BB9"/>
    <w:rsid w:val="00F03820"/>
    <w:rsid w:val="00F30D0C"/>
    <w:rsid w:val="00F4648B"/>
    <w:rsid w:val="00FB6C42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3C8E8"/>
  <w15:chartTrackingRefBased/>
  <w15:docId w15:val="{EF74BDD8-47A8-414A-BA36-4439B166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D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D9A"/>
  </w:style>
  <w:style w:type="paragraph" w:styleId="Stopka">
    <w:name w:val="footer"/>
    <w:basedOn w:val="Normalny"/>
    <w:link w:val="StopkaZnak"/>
    <w:uiPriority w:val="99"/>
    <w:unhideWhenUsed/>
    <w:rsid w:val="00714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D9A"/>
  </w:style>
  <w:style w:type="character" w:styleId="Numerstrony">
    <w:name w:val="page number"/>
    <w:basedOn w:val="Domylnaczcionkaakapitu"/>
    <w:rsid w:val="00714D9A"/>
  </w:style>
  <w:style w:type="paragraph" w:customStyle="1" w:styleId="E-1">
    <w:name w:val="E-1"/>
    <w:basedOn w:val="Normalny"/>
    <w:rsid w:val="007577D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9DE7B66-FEF5-463D-8BEE-9DD9A8B1BC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6</cp:revision>
  <dcterms:created xsi:type="dcterms:W3CDTF">2024-04-11T12:53:00Z</dcterms:created>
  <dcterms:modified xsi:type="dcterms:W3CDTF">2024-06-24T07:52:00Z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54cfc4cd-131d-40e1-be9f-12b240884b4b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